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line="240" w:lineRule="auto"/>
              <w:jc w:val="center"/>
              <w:rPr>
                <w:b w:val="1"/>
                <w:color w:val="002169"/>
                <w:sz w:val="32"/>
                <w:szCs w:val="32"/>
              </w:rPr>
            </w:pPr>
            <w:r w:rsidDel="00000000" w:rsidR="00000000" w:rsidRPr="00000000">
              <w:rPr>
                <w:b w:val="1"/>
                <w:color w:val="002169"/>
                <w:sz w:val="32"/>
                <w:szCs w:val="32"/>
                <w:rtl w:val="0"/>
              </w:rPr>
              <w:t xml:space="preserve">DRED SCOTT V. SANDFORD (1857)</w:t>
            </w:r>
          </w:p>
        </w:tc>
      </w:tr>
    </w:tbl>
    <w:p w:rsidR="00000000" w:rsidDel="00000000" w:rsidP="00000000" w:rsidRDefault="00000000" w:rsidRPr="00000000" w14:paraId="00000003">
      <w:pPr>
        <w:spacing w:line="240" w:lineRule="auto"/>
        <w:jc w:val="left"/>
        <w:rPr>
          <w:b w:val="1"/>
          <w:sz w:val="26"/>
          <w:szCs w:val="26"/>
        </w:rPr>
      </w:pPr>
      <w:r w:rsidDel="00000000" w:rsidR="00000000" w:rsidRPr="00000000">
        <w:rPr>
          <w:rtl w:val="0"/>
        </w:rPr>
      </w:r>
    </w:p>
    <w:p w:rsidR="00000000" w:rsidDel="00000000" w:rsidP="00000000" w:rsidRDefault="00000000" w:rsidRPr="00000000" w14:paraId="00000004">
      <w:pPr>
        <w:spacing w:line="240" w:lineRule="auto"/>
        <w:rPr>
          <w:b w:val="1"/>
        </w:rPr>
      </w:pPr>
      <w:r w:rsidDel="00000000" w:rsidR="00000000" w:rsidRPr="00000000">
        <w:rPr>
          <w:rtl w:val="0"/>
        </w:rPr>
        <w:t xml:space="preserve">View the case on the Constitution Center’s website </w:t>
      </w:r>
      <w:hyperlink r:id="rId6">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color w:val="002169"/>
          <w:rtl w:val="0"/>
        </w:rPr>
        <w:t xml:space="preserve">SUMMARY</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Dred Scott, an enslaved man who was taken by his enslaver into a free state and also to free federal territory, sued for freedom for himself and his family based on his stay in free territory. The Court refused to permit Scott constitutional protections and rights because he was not a citizen. Therefore, he did not have the right to sue because the relevant constitutional provision granted federal courts jurisdiction only between “citizens” of different states. The Court also held that the federal Missouri Compromise abolishing slavery in the Upper Louisiana Territory was in fact unconstitutional because the enslaver’s property rights in the enslaved person were violated. This holding pushed back efforts for the abolition of slavery and created a standard that African Americans were not American citizens, confirming that they had no constitutional protections or rights.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color w:val="222d66"/>
        </w:rPr>
      </w:pPr>
      <w:hyperlink r:id="rId7">
        <w:r w:rsidDel="00000000" w:rsidR="00000000" w:rsidRPr="00000000">
          <w:rPr>
            <w:color w:val="1155cc"/>
            <w:u w:val="single"/>
            <w:rtl w:val="0"/>
          </w:rPr>
          <w:t xml:space="preserve">Read the Full Opinion</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u w:val="single"/>
          <w:rtl w:val="0"/>
        </w:rPr>
        <w:t xml:space="preserve">Excerpt</w:t>
      </w:r>
      <w:r w:rsidDel="00000000" w:rsidR="00000000" w:rsidRPr="00000000">
        <w:rPr>
          <w:b w:val="1"/>
          <w:rtl w:val="0"/>
        </w:rPr>
        <w:t xml:space="preserve">: Majority Opinion, Chief Justice Taney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It is difficult at this day to realize the state of public opinion in relation to that unfortunate race, which prevailed in the civilized and enlightened portions of the world at the time of the Declaration of Independence, and when the Constitution of the United States was framed and adopted. But the public history of every European nation displays it in a manner too plain to be mistaken.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They had for more than a century before been regarded as beings of an inferior order, and altogether unfit to associate with the white race, either in social or political relations; and so far inferior, that they had no rights which the white man was bound to respect; and that the negro might justly and lawfully be reduced to slavery for his benefit. . . .</w:t>
      </w:r>
    </w:p>
    <w:p w:rsidR="00000000" w:rsidDel="00000000" w:rsidP="00000000" w:rsidRDefault="00000000" w:rsidRPr="00000000" w14:paraId="00000011">
      <w:pPr>
        <w:rPr/>
      </w:pPr>
      <w:r w:rsidDel="00000000" w:rsidR="00000000" w:rsidRPr="00000000">
        <w:rPr>
          <w:rtl w:val="0"/>
        </w:rPr>
        <w:t xml:space="preserve">[I]t is too clear for dispute that the enslaved African race were not intended to be included, and formed no part of the people who framed and adopted this declaration, for if the language, as understood in that day, would embrace them, the conduct of the distinguished men who framed the Declaration of Independence would have been utterly and flagrantly inconsistent with the principles they asserted….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[I]f persons of the African race are citizens of a State, and of the United States, they would be entitled to all of these privileges and immunities in every State, and the State could not restrict them . . . .  And these rights are of a character and would lead to consequences which make it absolutely certain that the African race were not included under the name of citizens of a State, and were not in the contemplation of the framers of the Constitution when these privileges and immunities were provided for the protection of the citizen in other States. . . .</w:t>
      </w:r>
    </w:p>
    <w:p w:rsidR="00000000" w:rsidDel="00000000" w:rsidP="00000000" w:rsidRDefault="00000000" w:rsidRPr="00000000" w14:paraId="00000014">
      <w:pPr>
        <w:rPr/>
      </w:pPr>
      <w:r w:rsidDel="00000000" w:rsidR="00000000" w:rsidRPr="00000000">
        <w:rPr>
          <w:rtl w:val="0"/>
        </w:rPr>
        <w:t xml:space="preserve">No one, we presume, supposes that any change in public opinion or feeling, in relation to this unfortunate race, in the civilized nations of Europe or in this country, should induce the court to give to the words of the Constitution a more liberal construction in their favor than they were intended to bear when the instrument was framed and adopted.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And upon a full and careful consideration of the subject, the court is of opinion, that, upon the facts stated in the plea in abatement, Dred Scott was not a citizen of Missouri within the meaning of the Constitution of the United States, and not entitled as such to sue in its courts; and, consequently, that the Circuit Court had no jurisdiction of the case, and that the judgment on the plea in abatement is erroneous. . .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power of Congress over the person or property of a citizen can never be a mere discretionary power under our Constitution and form of Government. The powers of the Government and the rights and privileges of the citizen are regulated and plainly defined by the Constitution itself. And when the Territory becomes a part of the United States, the Federal Government enters into possession in the character impressed upon it by those who created it. It enters upon it with its powers over the citizen strictly defined, and limited by the Constitution, from which it derives its own existence and by virtue of which alone it continues to exist and act as a Government and sovereignty. It has no power of any kind beyond it, and it cannot, when it enters a Territory of the United States, put off its character and assume discretionary or despotic powers which the Constitution has denied to it. It cannot create for itself a new character separated from the citizens of the United States and the duties it owes them under the provisions of the Constitution. The Territory being a part of the United States, the Government and the citizen both enter it under the authority of the Constitution, with their respective rights defined and marked out, and the Federal Government can exercise no power over his person or property beyond what that instrument confers, nor lawfully deny any right which it has reserved.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 reference to a few of the provisions of the Constitution will illustrate this proposition.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For example, no one, we presume, will contend that Congress can make any law in a Territory respecting the establishment of religion, or the free exercise thereof, or abridging the freedom of speech or of the press, or the right of the people of the Territory peaceably to assemble and to petition the Government for the redress of grievances. . .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These powers, and others in relation to rights of person which it is not necessary here to enumerate, are, in express and positive terms, denied to the General Government, and the rights of private property have been guarded with equal care. Thus, the rights of property are united with the rights of person, and placed on the same ground by the fifth amendment to the Constitution, which provides that no person shall be deprived of life, liberty, and property, without due process of law. And an act of Congress which deprives a citizen of the United States of his liberty or property merely because he came himself or brought his property into a particular Territory of the United States, and who had committed no offence against the laws, could hardly be dignified with the name of due process of law. . . .</w:t>
      </w:r>
    </w:p>
    <w:p w:rsidR="00000000" w:rsidDel="00000000" w:rsidP="00000000" w:rsidRDefault="00000000" w:rsidRPr="00000000" w14:paraId="0000001F">
      <w:pPr>
        <w:rPr/>
      </w:pPr>
      <w:r w:rsidDel="00000000" w:rsidR="00000000" w:rsidRPr="00000000">
        <w:rPr>
          <w:rtl w:val="0"/>
        </w:rPr>
        <w:t xml:space="preserve">[T]he right of property in a slave is distinctly and expressly affirmed in the Constitution. The right to traffic in it, like an ordinary article of merchandise and property, was guarantied to the citizens of the United States in every State that might desire it for twenty years. And the Government in express terms is pledged to protect it in all future time if the slave escapes from his owner. This is done in plain words – too plain to be misunderstood. And no word can be found in the Constitution which gives Congress a greater power over slave property or which entitles property of that kind to less protection than property of any other description. The only power conferred is the power coupled with the duty of guarding and protecting the owner in his rights.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u w:val="single"/>
          <w:rtl w:val="0"/>
        </w:rPr>
        <w:t xml:space="preserve">Excerpt</w:t>
      </w:r>
      <w:r w:rsidDel="00000000" w:rsidR="00000000" w:rsidRPr="00000000">
        <w:rPr>
          <w:b w:val="1"/>
          <w:rtl w:val="0"/>
        </w:rPr>
        <w:t xml:space="preserve">: Dissent, Justice McLean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There is no averment in this plea which shows or conduces to show an inability in the plaintiff to sue in the Circuit Court. It does not allege that the plaintiff had his domicil in any other State, nor that he is not a free man in Missouri. He is averred to have had a negro ancestry, but this does not show that he is not a citizen of Missouri, within the meaning of the act of Congress authorizing him to sue in the Circuit Court. It has never been held necessary, to constitute a citizen within the act, that he should have the qualifications of an elector. Females and minors may sue in the Federal courts, and so may any individual who has a permanent domicil in the State under whose laws his rights are protected, and to which he owes allegiance.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Being born under our Constitution and laws, no naturalization is required, as one of foreign birth, to make him a citizen. The most general and appropriate definition of the term citizen is ‘a freeman.’ Being a freeman, and having his domicil in a State different from that of the defendant, he is a citizen within the act of Congress, and the courts of the Union are open to him. . .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Our independence was a great epoch in the history of freedom, and while I admit the Government was not made especially for the colored race, yet many of them were citizens of the New England States, and exercised, the rights of suffrage when the Constitution was adopted . .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u w:val="single"/>
          <w:rtl w:val="0"/>
        </w:rPr>
        <w:t xml:space="preserve">Excerpt</w:t>
      </w:r>
      <w:r w:rsidDel="00000000" w:rsidR="00000000" w:rsidRPr="00000000">
        <w:rPr>
          <w:b w:val="1"/>
          <w:rtl w:val="0"/>
        </w:rPr>
        <w:t xml:space="preserve">: Dissent, Justice Curtis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To determine whether any free persons, descended from Africans held in slavery, were citizens of the United States under the Confederation, and consequently at the time of the adoption of the Constitution of the United States, it is only necessary to know whether any such persons were citizens of either of the States under the Confederation, at the time of the adoption of the Constitution.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Of this there can be no doubt. At the time of the ratification of the Articles of Confederation, all free native-born inhabitants of the States of New Hampshire, Massachusetts, New York, New Jersey, and North Carolina, though descended from African slaves, were not only citizens of those States, but such of them as had the other necessary qualifications possessed the franchise of electors, on equal terms with other citizens. . . .</w:t>
      </w:r>
    </w:p>
    <w:p w:rsidR="00000000" w:rsidDel="00000000" w:rsidP="00000000" w:rsidRDefault="00000000" w:rsidRPr="00000000" w14:paraId="0000002E">
      <w:pPr>
        <w:rPr/>
      </w:pPr>
      <w:r w:rsidDel="00000000" w:rsidR="00000000" w:rsidRPr="00000000">
        <w:rPr>
          <w:rtl w:val="0"/>
        </w:rPr>
        <w:t xml:space="preserve">That Constitution was ordained and established by the people of the United States, through the action, in each State, or those persons who were qualified by its laws to act thereon, in behalf of themselves and all other citizens of that State. . . . It would be strange, if we were to find in that instrument anything which deprived of their citizenship any part of the people of the United States who were among those by whom it was established.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 can find nothing in the Constitution which, proprio vigore, deprives of their citizenship any class of persons who were citizens of the United States at the time of its adoption, or who should be native-born citizens of any State after its adoption; nor any power enabling Congress to disfranchise persons born on the soil of any State, and entitled to citizenship of such State by its Constitution and laws. And my opinion is, that, under the Constitution of the United States, every free person born on the soil of a State, who is a citizen of that State by force of its Constitution or laws, is also a citizen of the United States. . .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One may confine the right of suffrage to white male citizens; another may extend it to colored persons and females; one may allow all persons above a prescribed age to convey property and transact business; another may exclude married women. But whether native-born women, or persons under age, or under guardianship because insane or spendthrifts, be excluded from voting or holding office, or allowed to do so, I apprehend no one will deny that they are citizens of the United States.</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tabs>
        <w:tab w:val="left" w:pos="3305"/>
      </w:tabs>
      <w:spacing w:after="160" w:before="120" w:line="240" w:lineRule="auto"/>
      <w:jc w:val="center"/>
      <w:rPr/>
    </w:pPr>
    <w:r w:rsidDel="00000000" w:rsidR="00000000" w:rsidRPr="00000000">
      <w:rPr>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312" w:lineRule="auto"/>
      <w:rPr>
        <w:b w:val="1"/>
        <w:color w:val="002169"/>
        <w:vertAlign w:val="subscript"/>
      </w:rPr>
    </w:pPr>
    <w:r w:rsidDel="00000000" w:rsidR="00000000" w:rsidRPr="00000000">
      <w:rPr>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34">
    <w:pPr>
      <w:spacing w:line="240" w:lineRule="auto"/>
      <w:rPr>
        <w:color w:val="002169"/>
      </w:rPr>
    </w:pPr>
    <w:r w:rsidDel="00000000" w:rsidR="00000000" w:rsidRPr="00000000">
      <w:rPr>
        <w:color w:val="002169"/>
        <w:rtl w:val="0"/>
      </w:rPr>
      <w:t xml:space="preserve">Module 9: The Judicial System and Current Cases</w:t>
    </w:r>
  </w:p>
  <w:p w:rsidR="00000000" w:rsidDel="00000000" w:rsidP="00000000" w:rsidRDefault="00000000" w:rsidRPr="00000000" w14:paraId="00000035">
    <w:pPr>
      <w:spacing w:line="240" w:lineRule="auto"/>
      <w:rPr/>
    </w:pPr>
    <w:r w:rsidDel="00000000" w:rsidR="00000000" w:rsidRPr="00000000">
      <w:rPr>
        <w:color w:val="002169"/>
        <w:rtl w:val="0"/>
      </w:rPr>
      <w:t xml:space="preserve">9.5 Primary Source</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onstitutioncenter.org/the-constitution/supreme-court-case-library/dred-scott-v-sandford" TargetMode="External"/><Relationship Id="rId7" Type="http://schemas.openxmlformats.org/officeDocument/2006/relationships/hyperlink" Target="https://supreme.justia.com/cases/federal/us/60/393/#tab-opinion-1964280"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